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FEAF" w14:textId="77777777" w:rsidR="000F6A9D" w:rsidRPr="008A085D" w:rsidRDefault="000F6A9D" w:rsidP="000F6A9D">
      <w:pPr>
        <w:pStyle w:val="Heading2"/>
        <w:pBdr>
          <w:bottom w:val="single" w:sz="4" w:space="1" w:color="auto"/>
        </w:pBdr>
        <w:rPr>
          <w:rFonts w:asciiTheme="minorHAnsi" w:hAnsiTheme="minorHAnsi" w:cstheme="minorHAnsi"/>
        </w:rPr>
      </w:pPr>
      <w:bookmarkStart w:id="0" w:name="_Toc60245905"/>
      <w:r w:rsidRPr="008A085D">
        <w:rPr>
          <w:rFonts w:asciiTheme="minorHAnsi" w:hAnsiTheme="minorHAnsi" w:cstheme="minorHAnsi"/>
          <w:color w:val="FF0000"/>
        </w:rPr>
        <w:t>Harassment</w:t>
      </w:r>
      <w:bookmarkEnd w:id="0"/>
    </w:p>
    <w:p w14:paraId="11CC682D" w14:textId="77777777" w:rsidR="000F6A9D" w:rsidRPr="008A085D" w:rsidRDefault="000F6A9D" w:rsidP="000F6A9D">
      <w:pPr>
        <w:rPr>
          <w:rFonts w:asciiTheme="minorHAnsi" w:hAnsiTheme="minorHAnsi" w:cstheme="minorHAnsi"/>
        </w:rPr>
      </w:pP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will not tolerate conduct by any employee, elected official, board or commission member, volunteer or intern, customer or member of the public that harasses, disrupts, or interferes with an employees work </w:t>
      </w:r>
      <w:proofErr w:type="gramStart"/>
      <w:r w:rsidRPr="008A085D">
        <w:rPr>
          <w:rFonts w:asciiTheme="minorHAnsi" w:hAnsiTheme="minorHAnsi" w:cstheme="minorHAnsi"/>
        </w:rPr>
        <w:t>performance</w:t>
      </w:r>
      <w:proofErr w:type="gramEnd"/>
      <w:r w:rsidRPr="008A085D">
        <w:rPr>
          <w:rFonts w:asciiTheme="minorHAnsi" w:hAnsiTheme="minorHAnsi" w:cstheme="minorHAnsi"/>
        </w:rPr>
        <w:t xml:space="preserve"> or which creates an intimidating, offensive, or hostile work environment.  All forms of harassment are prohibited.  We want to maintain a working environment free from all forms of harassment, whether based upon race, age, religion, color, sex, national origin, physical or mental disability, marital or veteran status, sexual orientation, gender identity, on-the-job injury, genetic information, or any other legally protected characteristic or status. Retaliation associated with a complaint of harassment is also prohibited. </w:t>
      </w:r>
    </w:p>
    <w:p w14:paraId="69C54FB3" w14:textId="77777777" w:rsidR="000F6A9D" w:rsidRPr="008A085D" w:rsidRDefault="000F6A9D" w:rsidP="000F6A9D">
      <w:pPr>
        <w:rPr>
          <w:rFonts w:asciiTheme="minorHAnsi" w:hAnsiTheme="minorHAnsi" w:cstheme="minorHAnsi"/>
        </w:rPr>
      </w:pPr>
    </w:p>
    <w:p w14:paraId="518F7F8F"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Behavior such as telling ethnic jokes; using religious slurs or offensive slang, or other derogatory terms regarding a person’s race, sexual orientation, age, sex, national origin, or disability; or mimicking one's speech, accent, or disability are examples of prohibited conduct and will not be tolerated.  Harassing individuals by making derogatory comments regarding protected status or characteristics is strictly prohibited, as well as using any other words or conduct that might create a hostile or offensive work environment. </w:t>
      </w:r>
    </w:p>
    <w:p w14:paraId="091D829E" w14:textId="77777777" w:rsidR="000F6A9D" w:rsidRPr="008A085D" w:rsidRDefault="000F6A9D" w:rsidP="000F6A9D">
      <w:pPr>
        <w:rPr>
          <w:rFonts w:asciiTheme="minorHAnsi" w:hAnsiTheme="minorHAnsi" w:cstheme="minorHAnsi"/>
        </w:rPr>
      </w:pPr>
    </w:p>
    <w:p w14:paraId="4C28AFEE"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Sexual harassment or assault is also a form of harassment.  The following conduct is considered to be sexual </w:t>
      </w:r>
      <w:proofErr w:type="gramStart"/>
      <w:r w:rsidRPr="008A085D">
        <w:rPr>
          <w:rFonts w:asciiTheme="minorHAnsi" w:hAnsiTheme="minorHAnsi" w:cstheme="minorHAnsi"/>
        </w:rPr>
        <w:t>harassment;</w:t>
      </w:r>
      <w:proofErr w:type="gramEnd"/>
    </w:p>
    <w:p w14:paraId="4FF210B5" w14:textId="77777777" w:rsidR="000F6A9D" w:rsidRPr="008A085D" w:rsidRDefault="000F6A9D" w:rsidP="000F6A9D">
      <w:pPr>
        <w:rPr>
          <w:rFonts w:asciiTheme="minorHAnsi" w:hAnsiTheme="minorHAnsi" w:cstheme="minorHAnsi"/>
        </w:rPr>
      </w:pPr>
    </w:p>
    <w:p w14:paraId="1477C207" w14:textId="77777777" w:rsidR="000F6A9D" w:rsidRPr="008A085D" w:rsidRDefault="000F6A9D" w:rsidP="000F6A9D">
      <w:pPr>
        <w:numPr>
          <w:ilvl w:val="0"/>
          <w:numId w:val="1"/>
        </w:numPr>
        <w:tabs>
          <w:tab w:val="clear" w:pos="360"/>
          <w:tab w:val="num" w:pos="720"/>
        </w:tabs>
        <w:spacing w:after="60"/>
        <w:ind w:left="720"/>
        <w:rPr>
          <w:rFonts w:asciiTheme="minorHAnsi" w:hAnsiTheme="minorHAnsi" w:cstheme="minorHAnsi"/>
        </w:rPr>
      </w:pPr>
      <w:r w:rsidRPr="008A085D">
        <w:rPr>
          <w:rFonts w:asciiTheme="minorHAnsi" w:hAnsiTheme="minorHAnsi" w:cstheme="minorHAnsi"/>
        </w:rPr>
        <w:t xml:space="preserve">Submission to the conduct is in any way deemed to be a term or condition of </w:t>
      </w:r>
      <w:proofErr w:type="gramStart"/>
      <w:r w:rsidRPr="008A085D">
        <w:rPr>
          <w:rFonts w:asciiTheme="minorHAnsi" w:hAnsiTheme="minorHAnsi" w:cstheme="minorHAnsi"/>
        </w:rPr>
        <w:t>employment;</w:t>
      </w:r>
      <w:proofErr w:type="gramEnd"/>
    </w:p>
    <w:p w14:paraId="515B4AF4" w14:textId="77777777" w:rsidR="000F6A9D" w:rsidRPr="008A085D" w:rsidRDefault="000F6A9D" w:rsidP="000F6A9D">
      <w:pPr>
        <w:numPr>
          <w:ilvl w:val="0"/>
          <w:numId w:val="1"/>
        </w:numPr>
        <w:tabs>
          <w:tab w:val="clear" w:pos="360"/>
          <w:tab w:val="num" w:pos="720"/>
        </w:tabs>
        <w:spacing w:after="60"/>
        <w:ind w:left="720"/>
        <w:rPr>
          <w:rFonts w:asciiTheme="minorHAnsi" w:hAnsiTheme="minorHAnsi" w:cstheme="minorHAnsi"/>
        </w:rPr>
      </w:pPr>
      <w:r w:rsidRPr="008A085D">
        <w:rPr>
          <w:rFonts w:asciiTheme="minorHAnsi" w:hAnsiTheme="minorHAnsi" w:cstheme="minorHAnsi"/>
        </w:rPr>
        <w:t>Submission to or rejection of the conduct is used as a basis for employment-related decisions; or,</w:t>
      </w:r>
    </w:p>
    <w:p w14:paraId="36574643" w14:textId="77777777" w:rsidR="000F6A9D" w:rsidRPr="008A085D" w:rsidRDefault="000F6A9D" w:rsidP="000F6A9D">
      <w:pPr>
        <w:numPr>
          <w:ilvl w:val="0"/>
          <w:numId w:val="1"/>
        </w:numPr>
        <w:tabs>
          <w:tab w:val="clear" w:pos="360"/>
          <w:tab w:val="num" w:pos="720"/>
        </w:tabs>
        <w:ind w:left="720"/>
        <w:rPr>
          <w:rFonts w:asciiTheme="minorHAnsi" w:hAnsiTheme="minorHAnsi" w:cstheme="minorHAnsi"/>
        </w:rPr>
      </w:pPr>
      <w:r w:rsidRPr="008A085D">
        <w:rPr>
          <w:rFonts w:asciiTheme="minorHAnsi" w:hAnsiTheme="minorHAnsi" w:cstheme="minorHAnsi"/>
        </w:rPr>
        <w:t>The conduct has the purpose or effect of unreasonably interfering with an individual's work performance or creating an intimidating, hostile, or offensive work environment.</w:t>
      </w:r>
    </w:p>
    <w:p w14:paraId="4D2F4717" w14:textId="77777777" w:rsidR="000F6A9D" w:rsidRPr="008A085D" w:rsidRDefault="000F6A9D" w:rsidP="000F6A9D">
      <w:pPr>
        <w:rPr>
          <w:rFonts w:asciiTheme="minorHAnsi" w:hAnsiTheme="minorHAnsi" w:cstheme="minorHAnsi"/>
        </w:rPr>
      </w:pPr>
    </w:p>
    <w:p w14:paraId="29C71386"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Sexual harassment can also consist of unwelcome sexual advances, requests for sexual favors, and other verbal or physical conduct of a sexual nature.  Conduct such as sexual or sexist language, jokes, or innuendoes; nude, profane, or obscene cartoons, drawings, or photographs; whistling; staring; and inappropriate touching are not tolerated at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Cell phone use, including text messages and other similar electronic communications, can also be considered harassing behavior.  </w:t>
      </w:r>
    </w:p>
    <w:p w14:paraId="5544D12C" w14:textId="77777777" w:rsidR="000F6A9D" w:rsidRPr="008A085D" w:rsidRDefault="000F6A9D" w:rsidP="000F6A9D">
      <w:pPr>
        <w:rPr>
          <w:rFonts w:asciiTheme="minorHAnsi" w:hAnsiTheme="minorHAnsi" w:cstheme="minorHAnsi"/>
        </w:rPr>
      </w:pPr>
    </w:p>
    <w:p w14:paraId="4C19687D"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Sexual Assault is defined as unwanted conduct of a sexual nature that is inflicted upon a person or compelled using physical force, manipulation, threat, or intimidation. </w:t>
      </w:r>
    </w:p>
    <w:p w14:paraId="05CA65A5" w14:textId="77777777" w:rsidR="000F6A9D" w:rsidRPr="008A085D" w:rsidRDefault="000F6A9D" w:rsidP="000F6A9D">
      <w:pPr>
        <w:rPr>
          <w:rFonts w:asciiTheme="minorHAnsi" w:hAnsiTheme="minorHAnsi" w:cstheme="minorHAnsi"/>
        </w:rPr>
      </w:pPr>
    </w:p>
    <w:p w14:paraId="40AA2370"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Each manager/supervisor has a responsibility to maintain a workplace free of any form of sexual harassment.  No person shall threaten or insinuate, either explicitly or implicitly, that an employee's refusal to submit to sexual advances will adversely affect the employee's employment, evaluation, wages, advancement, assigned duties, shifts, or any other condition of employment or career development.  Sexual harassment in the workplace, whether by managers/supervisors, non-managerial employees, or outside individuals (vendors, customers, etc.) is prohibited. </w:t>
      </w:r>
    </w:p>
    <w:p w14:paraId="5A1E57E0" w14:textId="77777777" w:rsidR="000F6A9D" w:rsidRPr="008A085D" w:rsidRDefault="000F6A9D" w:rsidP="000F6A9D">
      <w:pPr>
        <w:rPr>
          <w:rFonts w:asciiTheme="minorHAnsi" w:hAnsiTheme="minorHAnsi" w:cstheme="minorHAnsi"/>
        </w:rPr>
      </w:pPr>
    </w:p>
    <w:p w14:paraId="591E248F"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This policy explicitly applies to conduct in the workplace, at social functions sponsored by the organization, and at business functions (conventions, trade shows, etc.).  This policy applies to any conduct, however, as described above, which impacts the organization or work environment, regardless of where it occurs. </w:t>
      </w:r>
    </w:p>
    <w:p w14:paraId="746D6946" w14:textId="77777777" w:rsidR="000F6A9D" w:rsidRPr="008A085D" w:rsidRDefault="000F6A9D" w:rsidP="000F6A9D">
      <w:pPr>
        <w:rPr>
          <w:rFonts w:asciiTheme="minorHAnsi" w:hAnsiTheme="minorHAnsi" w:cstheme="minorHAnsi"/>
          <w:b/>
        </w:rPr>
      </w:pPr>
    </w:p>
    <w:p w14:paraId="246C8EC7"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Management provides and supports a dispute resolution procedure for receiving and resolving complaints alleging discriminatory practices in employment relations.  As an employee of </w:t>
      </w:r>
      <w:r w:rsidRPr="008A085D">
        <w:rPr>
          <w:rFonts w:asciiTheme="minorHAnsi" w:hAnsiTheme="minorHAnsi" w:cstheme="minorHAnsi"/>
          <w:b/>
          <w:highlight w:val="yellow"/>
        </w:rPr>
        <w:t>[</w:t>
      </w:r>
      <w:r w:rsidRPr="008A085D">
        <w:rPr>
          <w:rFonts w:asciiTheme="minorHAnsi" w:hAnsiTheme="minorHAnsi" w:cstheme="minorHAnsi"/>
          <w:b/>
        </w:rPr>
        <w:t>Organization Name</w:t>
      </w:r>
      <w:r w:rsidRPr="008A085D">
        <w:rPr>
          <w:rFonts w:asciiTheme="minorHAnsi" w:hAnsiTheme="minorHAnsi" w:cstheme="minorHAnsi"/>
          <w:b/>
          <w:highlight w:val="yellow"/>
        </w:rPr>
        <w:t>]</w:t>
      </w:r>
      <w:r w:rsidRPr="008A085D">
        <w:rPr>
          <w:rFonts w:asciiTheme="minorHAnsi" w:hAnsiTheme="minorHAnsi" w:cstheme="minorHAnsi"/>
        </w:rPr>
        <w:t xml:space="preserve">, you have the responsibility to immediately report any actions or words, which you find to be harassing.  The organization will not retaliate against you for filing a complaint or cooperating in an investigation and will not tolerate or permit retaliation by anyone. </w:t>
      </w:r>
    </w:p>
    <w:p w14:paraId="73AE34F1" w14:textId="77777777" w:rsidR="000F6A9D" w:rsidRPr="008A085D" w:rsidRDefault="000F6A9D" w:rsidP="000F6A9D">
      <w:pPr>
        <w:pStyle w:val="Heading3"/>
        <w:rPr>
          <w:rFonts w:asciiTheme="minorHAnsi" w:hAnsiTheme="minorHAnsi" w:cstheme="minorHAnsi"/>
        </w:rPr>
      </w:pPr>
      <w:bookmarkStart w:id="1" w:name="_Toc60245906"/>
      <w:r w:rsidRPr="008A085D">
        <w:rPr>
          <w:rFonts w:asciiTheme="minorHAnsi" w:hAnsiTheme="minorHAnsi" w:cstheme="minorHAnsi"/>
        </w:rPr>
        <w:t>Reporting Incidents of Harassment</w:t>
      </w:r>
      <w:bookmarkEnd w:id="1"/>
    </w:p>
    <w:p w14:paraId="7D31FAC8"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If you believe that you have been harassed, have witnessed harassment, or suspect any violation of our harassment policy, you must immediately report the matter to </w:t>
      </w:r>
      <w:r w:rsidRPr="008A085D">
        <w:rPr>
          <w:rFonts w:asciiTheme="minorHAnsi" w:hAnsiTheme="minorHAnsi" w:cstheme="minorHAnsi"/>
          <w:b/>
          <w:highlight w:val="yellow"/>
        </w:rPr>
        <w:t>[</w:t>
      </w:r>
      <w:r w:rsidRPr="008A085D">
        <w:rPr>
          <w:rFonts w:asciiTheme="minorHAnsi" w:hAnsiTheme="minorHAnsi" w:cstheme="minorHAnsi"/>
          <w:b/>
        </w:rPr>
        <w:t>Designated Position</w:t>
      </w:r>
      <w:r w:rsidRPr="008A085D">
        <w:rPr>
          <w:rFonts w:asciiTheme="minorHAnsi" w:hAnsiTheme="minorHAnsi" w:cstheme="minorHAnsi"/>
          <w:b/>
          <w:highlight w:val="yellow"/>
        </w:rPr>
        <w:t>]</w:t>
      </w:r>
      <w:r w:rsidRPr="008A085D">
        <w:rPr>
          <w:rFonts w:asciiTheme="minorHAnsi" w:hAnsiTheme="minorHAnsi" w:cstheme="minorHAnsi"/>
          <w:b/>
        </w:rPr>
        <w:t xml:space="preserve"> </w:t>
      </w:r>
      <w:r w:rsidRPr="008A085D">
        <w:rPr>
          <w:rFonts w:asciiTheme="minorHAnsi" w:hAnsiTheme="minorHAnsi" w:cstheme="minorHAnsi"/>
          <w:bCs/>
        </w:rPr>
        <w:t>or</w:t>
      </w:r>
      <w:r w:rsidRPr="008A085D">
        <w:rPr>
          <w:rFonts w:asciiTheme="minorHAnsi" w:hAnsiTheme="minorHAnsi" w:cstheme="minorHAnsi"/>
          <w:b/>
        </w:rPr>
        <w:t xml:space="preserve"> </w:t>
      </w:r>
      <w:r w:rsidRPr="008A085D">
        <w:rPr>
          <w:rFonts w:asciiTheme="minorHAnsi" w:hAnsiTheme="minorHAnsi" w:cstheme="minorHAnsi"/>
          <w:b/>
          <w:highlight w:val="yellow"/>
        </w:rPr>
        <w:t>[</w:t>
      </w:r>
      <w:r w:rsidRPr="008A085D">
        <w:rPr>
          <w:rFonts w:asciiTheme="minorHAnsi" w:hAnsiTheme="minorHAnsi" w:cstheme="minorHAnsi"/>
          <w:b/>
        </w:rPr>
        <w:t>Back up (you must identify an alternate)</w:t>
      </w:r>
      <w:r w:rsidRPr="008A085D">
        <w:rPr>
          <w:rFonts w:asciiTheme="minorHAnsi" w:hAnsiTheme="minorHAnsi" w:cstheme="minorHAnsi"/>
          <w:b/>
          <w:highlight w:val="yellow"/>
        </w:rPr>
        <w:t>]</w:t>
      </w:r>
      <w:r w:rsidRPr="008A085D">
        <w:rPr>
          <w:rFonts w:asciiTheme="minorHAnsi" w:hAnsiTheme="minorHAnsi" w:cstheme="minorHAnsi"/>
        </w:rPr>
        <w:t xml:space="preserve">.  These individuals are responsible for ensuring that all complaints are promptly and thoroughly investigated without prejudice or retaliation.  The investigation will be conducted promptly, but no specific timeframe can be guaranteed because each situation is likely to be different, and individuals may have varying schedules.  Every effort will be made to complete the investigation within </w:t>
      </w:r>
      <w:r w:rsidRPr="008A085D">
        <w:rPr>
          <w:rFonts w:asciiTheme="minorHAnsi" w:hAnsiTheme="minorHAnsi" w:cstheme="minorHAnsi"/>
          <w:b/>
          <w:bCs/>
          <w:highlight w:val="yellow"/>
        </w:rPr>
        <w:t>[</w:t>
      </w:r>
      <w:r w:rsidRPr="008A085D">
        <w:rPr>
          <w:rFonts w:asciiTheme="minorHAnsi" w:hAnsiTheme="minorHAnsi" w:cstheme="minorHAnsi"/>
          <w:b/>
          <w:bCs/>
        </w:rPr>
        <w:t>two weeks</w:t>
      </w:r>
      <w:r w:rsidRPr="008A085D">
        <w:rPr>
          <w:rFonts w:asciiTheme="minorHAnsi" w:hAnsiTheme="minorHAnsi" w:cstheme="minorHAnsi"/>
          <w:b/>
          <w:bCs/>
          <w:highlight w:val="yellow"/>
        </w:rPr>
        <w:t>]</w:t>
      </w:r>
      <w:r w:rsidRPr="008A085D">
        <w:rPr>
          <w:rFonts w:asciiTheme="minorHAnsi" w:hAnsiTheme="minorHAnsi" w:cstheme="minorHAnsi"/>
        </w:rPr>
        <w:t xml:space="preserve">.  In all cases, you will be notified of the outcome of the investigation.  We will also check in with you quarterly following receipt of the information to ensure the matter has been resolved and continues to meet the organizations standards.  </w:t>
      </w:r>
    </w:p>
    <w:p w14:paraId="016EC6F7" w14:textId="77777777" w:rsidR="000F6A9D" w:rsidRPr="008A085D" w:rsidRDefault="000F6A9D" w:rsidP="000F6A9D">
      <w:pPr>
        <w:rPr>
          <w:rFonts w:asciiTheme="minorHAnsi" w:hAnsiTheme="minorHAnsi" w:cstheme="minorHAnsi"/>
        </w:rPr>
      </w:pPr>
    </w:p>
    <w:p w14:paraId="11D3B266" w14:textId="77777777" w:rsidR="000F6A9D" w:rsidRPr="008A085D" w:rsidRDefault="000F6A9D" w:rsidP="000F6A9D">
      <w:pPr>
        <w:ind w:left="720"/>
        <w:rPr>
          <w:rFonts w:asciiTheme="minorHAnsi" w:hAnsiTheme="minorHAnsi" w:cstheme="minorHAnsi"/>
          <w:b/>
          <w:i/>
        </w:rPr>
      </w:pPr>
      <w:r w:rsidRPr="008A085D">
        <w:rPr>
          <w:rFonts w:asciiTheme="minorHAnsi" w:hAnsiTheme="minorHAnsi" w:cstheme="minorHAnsi"/>
          <w:b/>
          <w:i/>
          <w:color w:val="FF0000"/>
          <w:highlight w:val="yellow"/>
        </w:rPr>
        <w:t>NOTE:</w:t>
      </w:r>
      <w:r w:rsidRPr="008A085D">
        <w:rPr>
          <w:rFonts w:asciiTheme="minorHAnsi" w:hAnsiTheme="minorHAnsi" w:cstheme="minorHAnsi"/>
          <w:b/>
          <w:i/>
        </w:rPr>
        <w:t xml:space="preserve"> If you provide sexual harassment and discrimination training to your managers/supervisors, you may use the following language in addition to HR: “your manager, or any other management representative with whom you feel comfortable speaking.” Also, organizations with 24-hour shifts and remote locations must provide a process that allows immediate reporting of incidents, as immediate supervisors or managers may not be available or may be associated with a complaint.</w:t>
      </w:r>
    </w:p>
    <w:p w14:paraId="016F9D2B" w14:textId="77777777" w:rsidR="000F6A9D" w:rsidRPr="008A085D" w:rsidRDefault="000F6A9D" w:rsidP="000F6A9D">
      <w:pPr>
        <w:rPr>
          <w:rFonts w:asciiTheme="minorHAnsi" w:hAnsiTheme="minorHAnsi" w:cstheme="minorHAnsi"/>
        </w:rPr>
      </w:pPr>
    </w:p>
    <w:p w14:paraId="31ED3CBF"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All complaints of harassment will be investigated promptly and impartially.  Discretion will be used during the investigation in order to maintain as much confidentiality as possible while effectively completing the investigation, however, confidentiality cannot be guaranteed.  If you are not satisfied with the handling of a complaint or the action taken by management, you should bring the complaint to the next higher level of authority.  In all cases, you will generally be advised of the outcome.</w:t>
      </w:r>
    </w:p>
    <w:p w14:paraId="75403D78" w14:textId="77777777" w:rsidR="000F6A9D" w:rsidRPr="008A085D" w:rsidRDefault="000F6A9D" w:rsidP="000F6A9D">
      <w:pPr>
        <w:rPr>
          <w:rFonts w:asciiTheme="minorHAnsi" w:hAnsiTheme="minorHAnsi" w:cstheme="minorHAnsi"/>
        </w:rPr>
      </w:pPr>
    </w:p>
    <w:p w14:paraId="3C831CA1"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Any employee or manager who is found, after appropriate investigation, to have engaged in harassment or to have retaliated against an individual for reporting harassment will be subject to appropriate corrective action, depending on the circumstances, up to and including termination.</w:t>
      </w:r>
    </w:p>
    <w:p w14:paraId="0CEE2608" w14:textId="77777777" w:rsidR="000F6A9D" w:rsidRPr="008A085D" w:rsidRDefault="000F6A9D" w:rsidP="000F6A9D">
      <w:pPr>
        <w:rPr>
          <w:rFonts w:asciiTheme="minorHAnsi" w:hAnsiTheme="minorHAnsi" w:cstheme="minorHAnsi"/>
        </w:rPr>
      </w:pPr>
    </w:p>
    <w:p w14:paraId="2735B6B5" w14:textId="77777777" w:rsidR="000F6A9D" w:rsidRPr="008A085D" w:rsidRDefault="000F6A9D" w:rsidP="000F6A9D">
      <w:pPr>
        <w:pStyle w:val="Heading3"/>
        <w:spacing w:before="0"/>
        <w:rPr>
          <w:rFonts w:asciiTheme="minorHAnsi" w:hAnsiTheme="minorHAnsi" w:cstheme="minorHAnsi"/>
        </w:rPr>
      </w:pPr>
      <w:bookmarkStart w:id="2" w:name="_Toc60245907"/>
      <w:r w:rsidRPr="008A085D">
        <w:rPr>
          <w:rFonts w:asciiTheme="minorHAnsi" w:hAnsiTheme="minorHAnsi" w:cstheme="minorHAnsi"/>
        </w:rPr>
        <w:t>External Complaint Procedure</w:t>
      </w:r>
      <w:bookmarkEnd w:id="2"/>
    </w:p>
    <w:p w14:paraId="52AF0143"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We encourage employees to bring their concerns and complaints to the organization, and understand that, at times, this may not be the choice of the employee.  Below is a list of the external complaint options.  Please reach out to the preferred choice to determine the appropriate timelines for their processes.</w:t>
      </w:r>
    </w:p>
    <w:p w14:paraId="1ED05A6F" w14:textId="77777777" w:rsidR="000F6A9D" w:rsidRPr="008A085D" w:rsidRDefault="000F6A9D" w:rsidP="000F6A9D">
      <w:pPr>
        <w:rPr>
          <w:rFonts w:asciiTheme="minorHAnsi" w:hAnsiTheme="minorHAnsi" w:cstheme="minorHAnsi"/>
        </w:rPr>
      </w:pPr>
    </w:p>
    <w:p w14:paraId="3A2A07CD" w14:textId="77777777" w:rsidR="000F6A9D" w:rsidRPr="008A085D" w:rsidRDefault="000F6A9D" w:rsidP="000F6A9D">
      <w:pPr>
        <w:ind w:left="720" w:hanging="720"/>
        <w:rPr>
          <w:rFonts w:asciiTheme="minorHAnsi" w:hAnsiTheme="minorHAnsi" w:cstheme="minorHAnsi"/>
        </w:rPr>
      </w:pPr>
      <w:r w:rsidRPr="008A085D">
        <w:rPr>
          <w:rFonts w:asciiTheme="minorHAnsi" w:hAnsiTheme="minorHAnsi" w:cstheme="minorHAnsi"/>
        </w:rPr>
        <w:t>•</w:t>
      </w:r>
      <w:r w:rsidRPr="008A085D">
        <w:rPr>
          <w:rFonts w:asciiTheme="minorHAnsi" w:hAnsiTheme="minorHAnsi" w:cstheme="minorHAnsi"/>
        </w:rPr>
        <w:tab/>
        <w:t xml:space="preserve">Oregon Bureau of Labor and Industries at the following web address: </w:t>
      </w:r>
      <w:hyperlink r:id="rId7" w:history="1">
        <w:r w:rsidRPr="008A085D">
          <w:rPr>
            <w:rStyle w:val="Hyperlink"/>
            <w:rFonts w:asciiTheme="minorHAnsi" w:hAnsiTheme="minorHAnsi" w:cstheme="minorHAnsi"/>
          </w:rPr>
          <w:t>https://www.oregon.gov/boli/CRD/Pages/C_Crcompl.aspx</w:t>
        </w:r>
      </w:hyperlink>
      <w:r w:rsidRPr="008A085D">
        <w:rPr>
          <w:rFonts w:asciiTheme="minorHAnsi" w:hAnsiTheme="minorHAnsi" w:cstheme="minorHAnsi"/>
        </w:rPr>
        <w:t xml:space="preserve">  </w:t>
      </w:r>
    </w:p>
    <w:p w14:paraId="797A1524" w14:textId="77777777" w:rsidR="000F6A9D" w:rsidRPr="008A085D" w:rsidRDefault="000F6A9D" w:rsidP="000F6A9D">
      <w:pPr>
        <w:rPr>
          <w:rFonts w:asciiTheme="minorHAnsi" w:hAnsiTheme="minorHAnsi" w:cstheme="minorHAnsi"/>
        </w:rPr>
      </w:pPr>
    </w:p>
    <w:p w14:paraId="5B8A05D4" w14:textId="77777777" w:rsidR="000F6A9D" w:rsidRPr="008A085D" w:rsidRDefault="000F6A9D" w:rsidP="000F6A9D">
      <w:pPr>
        <w:ind w:left="720" w:hanging="720"/>
        <w:rPr>
          <w:rFonts w:asciiTheme="minorHAnsi" w:hAnsiTheme="minorHAnsi" w:cstheme="minorHAnsi"/>
        </w:rPr>
      </w:pPr>
      <w:r w:rsidRPr="008A085D">
        <w:rPr>
          <w:rFonts w:asciiTheme="minorHAnsi" w:hAnsiTheme="minorHAnsi" w:cstheme="minorHAnsi"/>
        </w:rPr>
        <w:t>•</w:t>
      </w:r>
      <w:r w:rsidRPr="008A085D">
        <w:rPr>
          <w:rFonts w:asciiTheme="minorHAnsi" w:hAnsiTheme="minorHAnsi" w:cstheme="minorHAnsi"/>
        </w:rPr>
        <w:tab/>
        <w:t>Civil or Criminal Action.  In these circumstances, a Notice of Claim must be provided to us in accordance with ORS 30.275.</w:t>
      </w:r>
    </w:p>
    <w:p w14:paraId="590E8AAE" w14:textId="77777777" w:rsidR="000F6A9D" w:rsidRPr="008A085D" w:rsidRDefault="000F6A9D" w:rsidP="000F6A9D">
      <w:pPr>
        <w:rPr>
          <w:rFonts w:asciiTheme="minorHAnsi" w:hAnsiTheme="minorHAnsi" w:cstheme="minorHAnsi"/>
        </w:rPr>
      </w:pPr>
    </w:p>
    <w:p w14:paraId="1DEB07EF" w14:textId="77777777" w:rsidR="000F6A9D" w:rsidRPr="008A085D" w:rsidRDefault="000F6A9D" w:rsidP="000F6A9D">
      <w:pPr>
        <w:pStyle w:val="Heading3"/>
        <w:spacing w:before="0"/>
        <w:rPr>
          <w:rFonts w:asciiTheme="minorHAnsi" w:hAnsiTheme="minorHAnsi" w:cstheme="minorHAnsi"/>
        </w:rPr>
      </w:pPr>
      <w:bookmarkStart w:id="3" w:name="_Toc60245908"/>
      <w:r w:rsidRPr="008A085D">
        <w:rPr>
          <w:rFonts w:asciiTheme="minorHAnsi" w:hAnsiTheme="minorHAnsi" w:cstheme="minorHAnsi"/>
        </w:rPr>
        <w:t>Employment Agreements</w:t>
      </w:r>
      <w:bookmarkEnd w:id="3"/>
    </w:p>
    <w:p w14:paraId="5C9C23AE"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 xml:space="preserve">No employee will be required or invited to sign an agreement requiring the non-disclosure of information related to discrimination or sexual assault as a condition of employment, continued employment, promotion, compensation, or the receipt of benefits.  An employee may request this type of agreement and, upon request, will be provided at least seven (7) days to change their mind. </w:t>
      </w:r>
    </w:p>
    <w:p w14:paraId="6D11AB77" w14:textId="77777777" w:rsidR="000F6A9D" w:rsidRPr="008A085D" w:rsidRDefault="000F6A9D" w:rsidP="000F6A9D">
      <w:pPr>
        <w:rPr>
          <w:rFonts w:asciiTheme="minorHAnsi" w:hAnsiTheme="minorHAnsi" w:cstheme="minorHAnsi"/>
        </w:rPr>
      </w:pPr>
    </w:p>
    <w:p w14:paraId="59EBEB97" w14:textId="77777777" w:rsidR="000F6A9D" w:rsidRPr="008A085D" w:rsidRDefault="000F6A9D" w:rsidP="000F6A9D">
      <w:pPr>
        <w:pStyle w:val="Heading3"/>
        <w:spacing w:before="0"/>
        <w:rPr>
          <w:rFonts w:asciiTheme="minorHAnsi" w:hAnsiTheme="minorHAnsi" w:cstheme="minorHAnsi"/>
        </w:rPr>
      </w:pPr>
      <w:bookmarkStart w:id="4" w:name="_Toc60245909"/>
      <w:r w:rsidRPr="008A085D">
        <w:rPr>
          <w:rFonts w:asciiTheme="minorHAnsi" w:hAnsiTheme="minorHAnsi" w:cstheme="minorHAnsi"/>
        </w:rPr>
        <w:t>Additional Employee Support Services</w:t>
      </w:r>
      <w:bookmarkEnd w:id="4"/>
    </w:p>
    <w:p w14:paraId="4AB9E755"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Employees may choose to use other support services throughout and following instances related to concerns and complaints.  The organization provides the following for additional assistance:</w:t>
      </w:r>
    </w:p>
    <w:p w14:paraId="58EC7BCC" w14:textId="77777777" w:rsidR="000F6A9D" w:rsidRPr="008A085D" w:rsidRDefault="000F6A9D" w:rsidP="000F6A9D">
      <w:pPr>
        <w:rPr>
          <w:rFonts w:asciiTheme="minorHAnsi" w:hAnsiTheme="minorHAnsi" w:cstheme="minorHAnsi"/>
        </w:rPr>
      </w:pPr>
    </w:p>
    <w:p w14:paraId="03562BBD" w14:textId="77777777" w:rsidR="000F6A9D" w:rsidRPr="008A085D" w:rsidRDefault="000F6A9D" w:rsidP="000F6A9D">
      <w:pPr>
        <w:rPr>
          <w:rFonts w:asciiTheme="minorHAnsi" w:hAnsiTheme="minorHAnsi" w:cstheme="minorHAnsi"/>
          <w:b/>
          <w:bCs/>
          <w:i/>
          <w:iCs/>
        </w:rPr>
      </w:pPr>
      <w:r w:rsidRPr="008A085D">
        <w:rPr>
          <w:rFonts w:asciiTheme="minorHAnsi" w:hAnsiTheme="minorHAnsi" w:cstheme="minorHAnsi"/>
          <w:b/>
          <w:bCs/>
          <w:i/>
          <w:iCs/>
          <w:color w:val="FF0000"/>
          <w:highlight w:val="yellow"/>
        </w:rPr>
        <w:t>NOTE:</w:t>
      </w:r>
      <w:r w:rsidRPr="008A085D">
        <w:rPr>
          <w:rFonts w:asciiTheme="minorHAnsi" w:hAnsiTheme="minorHAnsi" w:cstheme="minorHAnsi"/>
          <w:b/>
          <w:bCs/>
          <w:i/>
          <w:iCs/>
        </w:rPr>
        <w:t xml:space="preserve"> This is required</w:t>
      </w:r>
    </w:p>
    <w:p w14:paraId="1BD890FC" w14:textId="77777777" w:rsidR="000F6A9D" w:rsidRPr="008A085D" w:rsidRDefault="000F6A9D" w:rsidP="000F6A9D">
      <w:pPr>
        <w:rPr>
          <w:rFonts w:asciiTheme="minorHAnsi" w:hAnsiTheme="minorHAnsi" w:cstheme="minorHAnsi"/>
        </w:rPr>
      </w:pPr>
      <w:r w:rsidRPr="008A085D">
        <w:rPr>
          <w:rFonts w:asciiTheme="minorHAnsi" w:hAnsiTheme="minorHAnsi" w:cstheme="minorHAnsi"/>
        </w:rPr>
        <w:t>•</w:t>
      </w:r>
      <w:r w:rsidRPr="008A085D">
        <w:rPr>
          <w:rFonts w:asciiTheme="minorHAnsi" w:hAnsiTheme="minorHAnsi" w:cstheme="minorHAnsi"/>
        </w:rPr>
        <w:tab/>
        <w:t>Legal services</w:t>
      </w:r>
    </w:p>
    <w:p w14:paraId="0FDBC255" w14:textId="27208609" w:rsidR="001C3021" w:rsidRDefault="000F6A9D" w:rsidP="000F6A9D">
      <w:r w:rsidRPr="008A085D">
        <w:rPr>
          <w:rFonts w:asciiTheme="minorHAnsi" w:hAnsiTheme="minorHAnsi" w:cstheme="minorHAnsi"/>
        </w:rPr>
        <w:t>•</w:t>
      </w:r>
      <w:r w:rsidRPr="008A085D">
        <w:rPr>
          <w:rFonts w:asciiTheme="minorHAnsi" w:hAnsiTheme="minorHAnsi" w:cstheme="minorHAnsi"/>
        </w:rPr>
        <w:tab/>
        <w:t>Counseling and Support Services and/or Employee Assistance Services</w:t>
      </w:r>
    </w:p>
    <w:sectPr w:rsidR="001C30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373D" w14:textId="77777777" w:rsidR="004D5D31" w:rsidRDefault="004D5D31" w:rsidP="000F6A9D">
      <w:r>
        <w:separator/>
      </w:r>
    </w:p>
  </w:endnote>
  <w:endnote w:type="continuationSeparator" w:id="0">
    <w:p w14:paraId="788C904C" w14:textId="77777777" w:rsidR="004D5D31" w:rsidRDefault="004D5D31" w:rsidP="000F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E5FB" w14:textId="0EF2BCA1" w:rsidR="000F6A9D" w:rsidRDefault="000F6A9D">
    <w:pPr>
      <w:pStyle w:val="Footer"/>
    </w:pPr>
    <w:r>
      <w:t>Copied from the Oregon Government employee handbook template 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9C50" w14:textId="77777777" w:rsidR="004D5D31" w:rsidRDefault="004D5D31" w:rsidP="000F6A9D">
      <w:r>
        <w:separator/>
      </w:r>
    </w:p>
  </w:footnote>
  <w:footnote w:type="continuationSeparator" w:id="0">
    <w:p w14:paraId="32178173" w14:textId="77777777" w:rsidR="004D5D31" w:rsidRDefault="004D5D31" w:rsidP="000F6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3D08"/>
    <w:multiLevelType w:val="singleLevel"/>
    <w:tmpl w:val="F702ABBC"/>
    <w:lvl w:ilvl="0">
      <w:start w:val="1"/>
      <w:numFmt w:val="bullet"/>
      <w:lvlText w:val=""/>
      <w:lvlJc w:val="left"/>
      <w:pPr>
        <w:tabs>
          <w:tab w:val="num" w:pos="360"/>
        </w:tabs>
        <w:ind w:left="360" w:hanging="360"/>
      </w:pPr>
      <w:rPr>
        <w:rFonts w:ascii="Symbol" w:hAnsi="Symbol"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9D"/>
    <w:rsid w:val="000F6A9D"/>
    <w:rsid w:val="001C3021"/>
    <w:rsid w:val="004D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C04D"/>
  <w15:chartTrackingRefBased/>
  <w15:docId w15:val="{FA53012C-C214-46E6-B99B-30988D1D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9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F6A9D"/>
    <w:pPr>
      <w:keepNext/>
      <w:spacing w:after="360"/>
      <w:outlineLvl w:val="1"/>
    </w:pPr>
    <w:rPr>
      <w:b/>
      <w:smallCaps/>
      <w:sz w:val="36"/>
    </w:rPr>
  </w:style>
  <w:style w:type="paragraph" w:styleId="Heading3">
    <w:name w:val="heading 3"/>
    <w:basedOn w:val="Normal"/>
    <w:next w:val="Normal"/>
    <w:link w:val="Heading3Char"/>
    <w:qFormat/>
    <w:rsid w:val="000F6A9D"/>
    <w:pPr>
      <w:keepNext/>
      <w:spacing w:before="24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6A9D"/>
    <w:rPr>
      <w:rFonts w:ascii="Times New Roman" w:eastAsia="Times New Roman" w:hAnsi="Times New Roman" w:cs="Times New Roman"/>
      <w:b/>
      <w:smallCaps/>
      <w:sz w:val="36"/>
      <w:szCs w:val="20"/>
    </w:rPr>
  </w:style>
  <w:style w:type="character" w:customStyle="1" w:styleId="Heading3Char">
    <w:name w:val="Heading 3 Char"/>
    <w:basedOn w:val="DefaultParagraphFont"/>
    <w:link w:val="Heading3"/>
    <w:rsid w:val="000F6A9D"/>
    <w:rPr>
      <w:rFonts w:ascii="Times New Roman" w:eastAsia="Times New Roman" w:hAnsi="Times New Roman" w:cs="Times New Roman"/>
      <w:b/>
      <w:i/>
      <w:sz w:val="24"/>
      <w:szCs w:val="20"/>
    </w:rPr>
  </w:style>
  <w:style w:type="character" w:styleId="Hyperlink">
    <w:name w:val="Hyperlink"/>
    <w:basedOn w:val="DefaultParagraphFont"/>
    <w:unhideWhenUsed/>
    <w:rsid w:val="000F6A9D"/>
    <w:rPr>
      <w:color w:val="0563C1" w:themeColor="hyperlink"/>
      <w:u w:val="single"/>
    </w:rPr>
  </w:style>
  <w:style w:type="paragraph" w:styleId="Header">
    <w:name w:val="header"/>
    <w:basedOn w:val="Normal"/>
    <w:link w:val="HeaderChar"/>
    <w:uiPriority w:val="99"/>
    <w:unhideWhenUsed/>
    <w:rsid w:val="000F6A9D"/>
    <w:pPr>
      <w:tabs>
        <w:tab w:val="center" w:pos="4680"/>
        <w:tab w:val="right" w:pos="9360"/>
      </w:tabs>
    </w:pPr>
  </w:style>
  <w:style w:type="character" w:customStyle="1" w:styleId="HeaderChar">
    <w:name w:val="Header Char"/>
    <w:basedOn w:val="DefaultParagraphFont"/>
    <w:link w:val="Header"/>
    <w:uiPriority w:val="99"/>
    <w:rsid w:val="000F6A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F6A9D"/>
    <w:pPr>
      <w:tabs>
        <w:tab w:val="center" w:pos="4680"/>
        <w:tab w:val="right" w:pos="9360"/>
      </w:tabs>
    </w:pPr>
  </w:style>
  <w:style w:type="character" w:customStyle="1" w:styleId="FooterChar">
    <w:name w:val="Footer Char"/>
    <w:basedOn w:val="DefaultParagraphFont"/>
    <w:link w:val="Footer"/>
    <w:uiPriority w:val="99"/>
    <w:rsid w:val="000F6A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egon.gov/boli/CRD/Pages/C_Crcomp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1</cp:revision>
  <dcterms:created xsi:type="dcterms:W3CDTF">2021-08-02T21:15:00Z</dcterms:created>
  <dcterms:modified xsi:type="dcterms:W3CDTF">2021-08-02T21:17:00Z</dcterms:modified>
</cp:coreProperties>
</file>