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98F1B" w14:textId="32F082B4" w:rsidR="0079695C" w:rsidRDefault="00EF6334">
      <w:hyperlink r:id="rId4" w:history="1">
        <w:r>
          <w:rPr>
            <w:rStyle w:val="Hyperlink"/>
          </w:rPr>
          <w:t>Public Records and Meetings Law - Oregon Department of Justice (state.or.us)</w:t>
        </w:r>
      </w:hyperlink>
    </w:p>
    <w:sectPr w:rsidR="0079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34"/>
    <w:rsid w:val="0079695C"/>
    <w:rsid w:val="00E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A24B"/>
  <w15:chartTrackingRefBased/>
  <w15:docId w15:val="{A3B80DE6-D12E-4473-A251-A89F7822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j.state.or.us/oregon-department-of-justice/public-records/public-records-and-meetings-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1</cp:revision>
  <dcterms:created xsi:type="dcterms:W3CDTF">2020-12-03T00:02:00Z</dcterms:created>
  <dcterms:modified xsi:type="dcterms:W3CDTF">2020-12-03T00:03:00Z</dcterms:modified>
</cp:coreProperties>
</file>